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2B1E" w14:textId="77777777" w:rsidR="0043190E" w:rsidRPr="0043190E" w:rsidRDefault="0043190E" w:rsidP="0043190E">
      <w:bookmarkStart w:id="0" w:name="_GoBack"/>
      <w:bookmarkEnd w:id="0"/>
    </w:p>
    <w:tbl>
      <w:tblPr>
        <w:tblpPr w:leftFromText="180" w:rightFromText="180" w:vertAnchor="text" w:horzAnchor="page" w:tblpX="881" w:tblpY="28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4"/>
        <w:gridCol w:w="1722"/>
        <w:gridCol w:w="2150"/>
        <w:gridCol w:w="2283"/>
        <w:gridCol w:w="1954"/>
      </w:tblGrid>
      <w:tr w:rsidR="0043190E" w:rsidRPr="0043190E" w14:paraId="0101B383" w14:textId="77777777" w:rsidTr="0043190E">
        <w:trPr>
          <w:trHeight w:val="584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1B8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9E90E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1B8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E8B0A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Secure FTP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1B8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8C704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Secure USB</w:t>
            </w:r>
          </w:p>
          <w:p w14:paraId="2867A9C3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e.g. Iron Key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1B8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8785B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DX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1B8C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DFEB9" w14:textId="77777777" w:rsidR="0043190E" w:rsidRPr="0043190E" w:rsidRDefault="0043190E" w:rsidP="0043190E">
            <w:pPr>
              <w:spacing w:after="6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43190E">
              <w:rPr>
                <w:b/>
                <w:color w:val="FFFFFF"/>
                <w:sz w:val="24"/>
                <w:szCs w:val="24"/>
              </w:rPr>
              <w:t>DX strategic advantage</w:t>
            </w:r>
          </w:p>
        </w:tc>
      </w:tr>
      <w:tr w:rsidR="0043190E" w:rsidRPr="0043190E" w14:paraId="3196DC0F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053D3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Maps data types between sender and recipient IT systems (Integrity)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C9813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Manual process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2EEB6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Manual process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CA5D8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An automated process assisted by data tagging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30E42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bCs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Reduces human error</w:t>
            </w: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Saves time to deploy and time to adjust data sharing project</w:t>
            </w:r>
          </w:p>
        </w:tc>
      </w:tr>
      <w:tr w:rsidR="0043190E" w:rsidRPr="0043190E" w14:paraId="3DAFC3B5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07FD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Data Leakage Prevention (Privacy)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034E7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None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A3A0A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None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16D59" w14:textId="77777777" w:rsidR="0043190E" w:rsidRPr="0043190E" w:rsidRDefault="0043190E" w:rsidP="004319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An automated process assisted by data tagging</w:t>
            </w:r>
          </w:p>
          <w:p w14:paraId="31ECAF66" w14:textId="77777777" w:rsidR="0043190E" w:rsidRPr="0043190E" w:rsidRDefault="0043190E" w:rsidP="004319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Authorisation to share e.g. MoU’s, are mapped to each ‘project’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19B25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Proactive warnings that ICLD is about to be shared</w:t>
            </w:r>
          </w:p>
          <w:p w14:paraId="1E79B209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The opportunity for Privacy governance and oversight is improved</w:t>
            </w:r>
          </w:p>
        </w:tc>
      </w:tr>
      <w:tr w:rsidR="0043190E" w:rsidRPr="0043190E" w14:paraId="52D6F7C5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3D8B0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Role Based Access Control (RBAC) &amp; auditing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C9AED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None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03869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Dependent on each implementation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0E478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RBAC is mapped and audited.</w:t>
            </w:r>
          </w:p>
          <w:p w14:paraId="25299EA5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7EB9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Investigations into Privacy breaches are quicker</w:t>
            </w:r>
          </w:p>
        </w:tc>
      </w:tr>
      <w:tr w:rsidR="0043190E" w:rsidRPr="0043190E" w14:paraId="188C9838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C2593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NGO workload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A262F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One or more Secure FTP setup per endpoint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7B23C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Need to use secure-courier or fly people around with USB sticks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DADD7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Performs as a single intelligent gateway to multiple agencies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0FAA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The automation process lowers the technical entry point &amp; workload</w:t>
            </w:r>
          </w:p>
        </w:tc>
      </w:tr>
      <w:tr w:rsidR="0043190E" w:rsidRPr="0043190E" w14:paraId="1D5E8F8F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85D4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 xml:space="preserve">User Accounts and Password </w:t>
            </w: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>controls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065AF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>None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9B714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 xml:space="preserve">Strong, but passwords are </w:t>
            </w: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>often shared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13F33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 xml:space="preserve">Strong passwords </w:t>
            </w: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>enforced per persons and PIN’s widely used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26590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lastRenderedPageBreak/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sz w:val="28"/>
                <w:szCs w:val="28"/>
                <w:lang w:eastAsia="en-NZ"/>
              </w:rPr>
              <w:t xml:space="preserve">Person level </w:t>
            </w:r>
            <w:r w:rsidRPr="0043190E">
              <w:rPr>
                <w:rFonts w:cstheme="minorHAnsi"/>
                <w:sz w:val="28"/>
                <w:szCs w:val="28"/>
                <w:lang w:eastAsia="en-NZ"/>
              </w:rPr>
              <w:lastRenderedPageBreak/>
              <w:t>accountability</w:t>
            </w:r>
          </w:p>
          <w:p w14:paraId="713F1D93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bCs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2FA in use</w:t>
            </w:r>
          </w:p>
        </w:tc>
      </w:tr>
      <w:tr w:rsidR="0043190E" w:rsidRPr="0043190E" w14:paraId="115D97DF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61DD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lastRenderedPageBreak/>
              <w:t>Encryption (Confidentiality)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49AFA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Protects data in transit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A2DAD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Protects data at rest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74347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Protects data in transit and at rest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CD755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Cs/>
                <w:color w:val="00B050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bCs/>
                <w:color w:val="000000" w:themeColor="text1"/>
                <w:kern w:val="24"/>
                <w:sz w:val="28"/>
                <w:szCs w:val="28"/>
                <w:lang w:eastAsia="en-NZ"/>
              </w:rPr>
              <w:t>Meets or exceeds NZISM requirements</w:t>
            </w:r>
          </w:p>
        </w:tc>
      </w:tr>
      <w:tr w:rsidR="0043190E" w:rsidRPr="0043190E" w14:paraId="5C577F07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7FE22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Technical diversity</w:t>
            </w:r>
          </w:p>
          <w:p w14:paraId="37FD3A11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(Flexibility and reliability)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95E3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Manual intervention required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12F9C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Manual intervention required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C71A1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Native capability to translate between endpoints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FEDE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t xml:space="preserve"> </w:t>
            </w:r>
            <w:r w:rsidRPr="0043190E">
              <w:rPr>
                <w:rFonts w:cstheme="minorHAnsi"/>
                <w:bCs/>
                <w:color w:val="000000" w:themeColor="text1"/>
                <w:kern w:val="24"/>
                <w:sz w:val="28"/>
                <w:szCs w:val="28"/>
                <w:lang w:eastAsia="en-NZ"/>
              </w:rPr>
              <w:t>Eliminates human intervention thus allowing 24x7x365 operation</w:t>
            </w:r>
          </w:p>
        </w:tc>
      </w:tr>
      <w:tr w:rsidR="0043190E" w:rsidRPr="0043190E" w14:paraId="7D6DF2C9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118E5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Cloud uptake</w:t>
            </w:r>
          </w:p>
          <w:p w14:paraId="5C14CB80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(Cloud-first strategies)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CFE430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On a per instance basis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71D47C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N/a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18B16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Talks to many clouds natively, with built-in data format correction e.g. for default date formats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1B65D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Delivers to cloud-first strategies with built-in translation to different formats</w:t>
            </w:r>
          </w:p>
        </w:tc>
      </w:tr>
      <w:tr w:rsidR="0043190E" w:rsidRPr="0043190E" w14:paraId="3AE76533" w14:textId="77777777" w:rsidTr="0043190E">
        <w:trPr>
          <w:trHeight w:val="584"/>
        </w:trPr>
        <w:tc>
          <w:tcPr>
            <w:tcW w:w="0" w:type="auto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80386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color w:val="000000" w:themeColor="dark1"/>
                <w:kern w:val="24"/>
                <w:sz w:val="28"/>
                <w:szCs w:val="28"/>
                <w:lang w:eastAsia="en-NZ"/>
              </w:rPr>
              <w:t>File-format (spacefiller) malware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C2B49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Malware is securely transferred along with the data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54FE1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Malware is securely transferred along with the data</w:t>
            </w:r>
          </w:p>
        </w:tc>
        <w:tc>
          <w:tcPr>
            <w:tcW w:w="0" w:type="auto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66C10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color w:val="000000" w:themeColor="dark1"/>
                <w:kern w:val="24"/>
                <w:sz w:val="28"/>
                <w:szCs w:val="28"/>
                <w:lang w:eastAsia="en-NZ"/>
              </w:rPr>
              <w:t>The DX only transfers data and leaves file-format malware behind</w:t>
            </w:r>
          </w:p>
        </w:tc>
        <w:tc>
          <w:tcPr>
            <w:tcW w:w="0" w:type="auto"/>
            <w:tcBorders>
              <w:lef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C8F6E" w14:textId="77777777" w:rsidR="0043190E" w:rsidRPr="0043190E" w:rsidRDefault="0043190E" w:rsidP="0043190E">
            <w:pPr>
              <w:spacing w:after="0" w:line="240" w:lineRule="auto"/>
              <w:rPr>
                <w:rFonts w:cstheme="minorHAnsi"/>
                <w:sz w:val="28"/>
                <w:szCs w:val="28"/>
                <w:lang w:eastAsia="en-NZ"/>
              </w:rPr>
            </w:pPr>
            <w:r w:rsidRPr="0043190E">
              <w:rPr>
                <w:rFonts w:cstheme="minorHAnsi"/>
                <w:b/>
                <w:bCs/>
                <w:color w:val="00B050"/>
                <w:kern w:val="24"/>
                <w:sz w:val="28"/>
                <w:szCs w:val="28"/>
                <w:lang w:eastAsia="en-NZ"/>
              </w:rPr>
              <w:sym w:font="Wingdings" w:char="F0FE"/>
            </w:r>
            <w:r w:rsidRPr="0043190E">
              <w:rPr>
                <w:rFonts w:cstheme="minorHAnsi"/>
                <w:color w:val="000000" w:themeColor="text1"/>
                <w:kern w:val="24"/>
                <w:sz w:val="28"/>
                <w:szCs w:val="28"/>
                <w:lang w:eastAsia="en-NZ"/>
              </w:rPr>
              <w:t xml:space="preserve"> An entire category of malware has just been de-scoped</w:t>
            </w:r>
          </w:p>
        </w:tc>
      </w:tr>
    </w:tbl>
    <w:p w14:paraId="08406DB6" w14:textId="77777777" w:rsidR="00F829F6" w:rsidRPr="00F113EF" w:rsidRDefault="00F829F6" w:rsidP="00F113EF"/>
    <w:sectPr w:rsidR="00F829F6" w:rsidRPr="00F113EF" w:rsidSect="00F04A5F">
      <w:headerReference w:type="default" r:id="rId8"/>
      <w:footerReference w:type="even" r:id="rId9"/>
      <w:footerReference w:type="default" r:id="rId10"/>
      <w:pgSz w:w="11906" w:h="16838" w:code="9"/>
      <w:pgMar w:top="216" w:right="58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D843" w14:textId="77777777" w:rsidR="0043190E" w:rsidRDefault="0043190E" w:rsidP="00FE7045">
      <w:pPr>
        <w:spacing w:after="0" w:line="240" w:lineRule="auto"/>
      </w:pPr>
      <w:r>
        <w:separator/>
      </w:r>
    </w:p>
  </w:endnote>
  <w:endnote w:type="continuationSeparator" w:id="0">
    <w:p w14:paraId="5A5DD386" w14:textId="77777777" w:rsidR="0043190E" w:rsidRDefault="0043190E" w:rsidP="00F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C325" w14:textId="77777777" w:rsidR="0043190E" w:rsidRDefault="0043190E" w:rsidP="00431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B2E0B" w14:textId="77777777" w:rsidR="0043190E" w:rsidRDefault="0043190E" w:rsidP="004165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722D" w14:textId="79307BD4" w:rsidR="0043190E" w:rsidRDefault="0043190E" w:rsidP="00431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A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22227C" w14:textId="1C975140" w:rsidR="0043190E" w:rsidRPr="00416592" w:rsidRDefault="0043190E" w:rsidP="00AB24DC">
    <w:pPr>
      <w:pStyle w:val="Footer"/>
      <w:tabs>
        <w:tab w:val="clear" w:pos="9026"/>
      </w:tabs>
      <w:ind w:right="360"/>
    </w:pPr>
    <w:r w:rsidRPr="00416592">
      <w:rPr>
        <w:rFonts w:cs="Times New Roman"/>
      </w:rPr>
      <w:fldChar w:fldCharType="begin"/>
    </w:r>
    <w:r w:rsidRPr="00416592">
      <w:rPr>
        <w:rFonts w:cs="Times New Roman"/>
      </w:rPr>
      <w:instrText xml:space="preserve"> FILENAME </w:instrText>
    </w:r>
    <w:r w:rsidRPr="00416592">
      <w:rPr>
        <w:rFonts w:cs="Times New Roman"/>
      </w:rPr>
      <w:fldChar w:fldCharType="separate"/>
    </w:r>
    <w:r w:rsidR="00F04A5F">
      <w:rPr>
        <w:rFonts w:cs="Times New Roman"/>
        <w:noProof/>
      </w:rPr>
      <w:t>Fact Sheet - Data Exchange (DX) versus traditional file transfer.docx</w:t>
    </w:r>
    <w:r w:rsidRPr="00416592">
      <w:rPr>
        <w:rFonts w:cs="Times New Roman"/>
      </w:rPr>
      <w:fldChar w:fldCharType="end"/>
    </w:r>
    <w:r w:rsidR="00AB24DC">
      <w:tab/>
    </w:r>
    <w:r w:rsidR="00AB24DC">
      <w:tab/>
    </w:r>
    <w:r w:rsidR="00AB24DC">
      <w:tab/>
    </w:r>
    <w:r w:rsidR="00AB24DC">
      <w:tab/>
    </w:r>
    <w:r w:rsidR="00AB24DC">
      <w:tab/>
    </w:r>
    <w:r w:rsidR="00AB24DC">
      <w:tab/>
    </w:r>
    <w:r w:rsidR="00AB24DC">
      <w:tab/>
    </w:r>
    <w:r w:rsidR="00AB24D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9F7B" w14:textId="77777777" w:rsidR="0043190E" w:rsidRDefault="0043190E" w:rsidP="00FE7045">
      <w:pPr>
        <w:spacing w:after="0" w:line="240" w:lineRule="auto"/>
      </w:pPr>
      <w:r>
        <w:separator/>
      </w:r>
    </w:p>
  </w:footnote>
  <w:footnote w:type="continuationSeparator" w:id="0">
    <w:p w14:paraId="489E0369" w14:textId="77777777" w:rsidR="0043190E" w:rsidRDefault="0043190E" w:rsidP="00FE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3986" w14:textId="4709CA1F" w:rsidR="0043190E" w:rsidRPr="004A5E58" w:rsidRDefault="0043190E" w:rsidP="0043190E">
    <w:pPr>
      <w:pStyle w:val="Heading1"/>
      <w:rPr>
        <w:rFonts w:ascii="Calibri" w:hAnsi="Calibri"/>
        <w:color w:val="E36C0A" w:themeColor="accent6" w:themeShade="BF"/>
      </w:rPr>
    </w:pPr>
    <w:r w:rsidRPr="004A5E58">
      <w:rPr>
        <w:rFonts w:ascii="Calibri" w:hAnsi="Calibri"/>
        <w:noProof/>
        <w:color w:val="E36C0A" w:themeColor="accent6" w:themeShade="BF"/>
        <w:szCs w:val="36"/>
        <w:lang w:val="en-NZ" w:eastAsia="en-NZ"/>
      </w:rPr>
      <w:drawing>
        <wp:anchor distT="0" distB="0" distL="114300" distR="114300" simplePos="0" relativeHeight="251659264" behindDoc="0" locked="0" layoutInCell="1" hidden="0" allowOverlap="1" wp14:anchorId="3597CDEE" wp14:editId="2625D4E2">
          <wp:simplePos x="0" y="0"/>
          <wp:positionH relativeFrom="margin">
            <wp:posOffset>7324725</wp:posOffset>
          </wp:positionH>
          <wp:positionV relativeFrom="paragraph">
            <wp:posOffset>-36195</wp:posOffset>
          </wp:positionV>
          <wp:extent cx="2047875" cy="619125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E58">
      <w:rPr>
        <w:rFonts w:ascii="Calibri" w:hAnsi="Calibri"/>
        <w:color w:val="E36C0A" w:themeColor="accent6" w:themeShade="BF"/>
      </w:rPr>
      <w:t>FACT SHEET</w:t>
    </w:r>
  </w:p>
  <w:p w14:paraId="0382EB74" w14:textId="620868E0" w:rsidR="0043190E" w:rsidRPr="0043190E" w:rsidRDefault="0043190E" w:rsidP="0043190E">
    <w:pPr>
      <w:pStyle w:val="Heading1"/>
    </w:pPr>
    <w:r w:rsidRPr="0043190E">
      <w:rPr>
        <w:color w:val="548DD4" w:themeColor="text2" w:themeTint="99"/>
        <w:szCs w:val="36"/>
      </w:rPr>
      <w:t>Data Exchange versus traditional file transfer 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11646"/>
    <w:multiLevelType w:val="hybridMultilevel"/>
    <w:tmpl w:val="493AB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0E"/>
    <w:multiLevelType w:val="hybridMultilevel"/>
    <w:tmpl w:val="C7A46A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49FA"/>
    <w:multiLevelType w:val="hybridMultilevel"/>
    <w:tmpl w:val="80F26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408"/>
    <w:multiLevelType w:val="hybridMultilevel"/>
    <w:tmpl w:val="8CE234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82454E8"/>
    <w:multiLevelType w:val="hybridMultilevel"/>
    <w:tmpl w:val="1FDC8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D702E1"/>
    <w:multiLevelType w:val="hybridMultilevel"/>
    <w:tmpl w:val="42F2C1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C60D8"/>
    <w:multiLevelType w:val="hybridMultilevel"/>
    <w:tmpl w:val="2F789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4243"/>
    <w:multiLevelType w:val="hybridMultilevel"/>
    <w:tmpl w:val="03005B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5663"/>
    <w:multiLevelType w:val="hybridMultilevel"/>
    <w:tmpl w:val="BA4ED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58DC"/>
    <w:multiLevelType w:val="hybridMultilevel"/>
    <w:tmpl w:val="745C84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97956"/>
    <w:multiLevelType w:val="hybridMultilevel"/>
    <w:tmpl w:val="492A5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339E"/>
    <w:multiLevelType w:val="hybridMultilevel"/>
    <w:tmpl w:val="FBF44A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54EF4"/>
    <w:multiLevelType w:val="hybridMultilevel"/>
    <w:tmpl w:val="39C6F2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B184D"/>
    <w:multiLevelType w:val="hybridMultilevel"/>
    <w:tmpl w:val="1C904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2CD1"/>
    <w:multiLevelType w:val="hybridMultilevel"/>
    <w:tmpl w:val="5B764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17AAA"/>
    <w:multiLevelType w:val="hybridMultilevel"/>
    <w:tmpl w:val="23DAC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1AAB"/>
    <w:multiLevelType w:val="hybridMultilevel"/>
    <w:tmpl w:val="7944B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36835"/>
    <w:multiLevelType w:val="hybridMultilevel"/>
    <w:tmpl w:val="2812B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34C66"/>
    <w:multiLevelType w:val="hybridMultilevel"/>
    <w:tmpl w:val="567C52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84441"/>
    <w:multiLevelType w:val="hybridMultilevel"/>
    <w:tmpl w:val="D77E8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B0B28"/>
    <w:multiLevelType w:val="hybridMultilevel"/>
    <w:tmpl w:val="519E95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219C0"/>
    <w:multiLevelType w:val="hybridMultilevel"/>
    <w:tmpl w:val="C0DEA8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44A9E"/>
    <w:multiLevelType w:val="hybridMultilevel"/>
    <w:tmpl w:val="B526F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23BE0"/>
    <w:multiLevelType w:val="hybridMultilevel"/>
    <w:tmpl w:val="913050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56847"/>
    <w:multiLevelType w:val="hybridMultilevel"/>
    <w:tmpl w:val="5C5A8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1142C"/>
    <w:multiLevelType w:val="hybridMultilevel"/>
    <w:tmpl w:val="120E11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4D1D"/>
    <w:multiLevelType w:val="hybridMultilevel"/>
    <w:tmpl w:val="3EFCC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9"/>
  </w:num>
  <w:num w:numId="7">
    <w:abstractNumId w:val="18"/>
  </w:num>
  <w:num w:numId="8">
    <w:abstractNumId w:val="20"/>
  </w:num>
  <w:num w:numId="9">
    <w:abstractNumId w:val="25"/>
  </w:num>
  <w:num w:numId="10">
    <w:abstractNumId w:val="30"/>
  </w:num>
  <w:num w:numId="11">
    <w:abstractNumId w:val="28"/>
  </w:num>
  <w:num w:numId="12">
    <w:abstractNumId w:val="23"/>
  </w:num>
  <w:num w:numId="13">
    <w:abstractNumId w:val="14"/>
  </w:num>
  <w:num w:numId="14">
    <w:abstractNumId w:val="21"/>
  </w:num>
  <w:num w:numId="15">
    <w:abstractNumId w:val="12"/>
  </w:num>
  <w:num w:numId="16">
    <w:abstractNumId w:val="22"/>
  </w:num>
  <w:num w:numId="17">
    <w:abstractNumId w:val="2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4"/>
  </w:num>
  <w:num w:numId="23">
    <w:abstractNumId w:val="6"/>
  </w:num>
  <w:num w:numId="24">
    <w:abstractNumId w:val="8"/>
  </w:num>
  <w:num w:numId="25">
    <w:abstractNumId w:val="29"/>
  </w:num>
  <w:num w:numId="26">
    <w:abstractNumId w:val="31"/>
  </w:num>
  <w:num w:numId="27">
    <w:abstractNumId w:val="17"/>
  </w:num>
  <w:num w:numId="28">
    <w:abstractNumId w:val="3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F"/>
    <w:rsid w:val="00000B4C"/>
    <w:rsid w:val="00005BBE"/>
    <w:rsid w:val="000106D0"/>
    <w:rsid w:val="00034336"/>
    <w:rsid w:val="00037CB0"/>
    <w:rsid w:val="00054FAA"/>
    <w:rsid w:val="0008126F"/>
    <w:rsid w:val="000A527F"/>
    <w:rsid w:val="000A576B"/>
    <w:rsid w:val="000E3BB9"/>
    <w:rsid w:val="00106AED"/>
    <w:rsid w:val="001C79BF"/>
    <w:rsid w:val="001D3744"/>
    <w:rsid w:val="001D381E"/>
    <w:rsid w:val="001D51D9"/>
    <w:rsid w:val="0020454B"/>
    <w:rsid w:val="00213DA6"/>
    <w:rsid w:val="00216302"/>
    <w:rsid w:val="00236D2D"/>
    <w:rsid w:val="00245A2B"/>
    <w:rsid w:val="002D1C62"/>
    <w:rsid w:val="002D367B"/>
    <w:rsid w:val="00337899"/>
    <w:rsid w:val="00354EC2"/>
    <w:rsid w:val="00371711"/>
    <w:rsid w:val="00397220"/>
    <w:rsid w:val="003B0A38"/>
    <w:rsid w:val="003D7AA1"/>
    <w:rsid w:val="003E3722"/>
    <w:rsid w:val="00414473"/>
    <w:rsid w:val="00416592"/>
    <w:rsid w:val="00421010"/>
    <w:rsid w:val="004227ED"/>
    <w:rsid w:val="0043190E"/>
    <w:rsid w:val="00445BCE"/>
    <w:rsid w:val="00454F25"/>
    <w:rsid w:val="004710B8"/>
    <w:rsid w:val="004A5E58"/>
    <w:rsid w:val="004F0212"/>
    <w:rsid w:val="00533E65"/>
    <w:rsid w:val="00537479"/>
    <w:rsid w:val="00547EFE"/>
    <w:rsid w:val="00550377"/>
    <w:rsid w:val="0056681E"/>
    <w:rsid w:val="00572AA9"/>
    <w:rsid w:val="00595906"/>
    <w:rsid w:val="005B11F9"/>
    <w:rsid w:val="005E10D9"/>
    <w:rsid w:val="00631D73"/>
    <w:rsid w:val="006709D3"/>
    <w:rsid w:val="006B19BD"/>
    <w:rsid w:val="006C16A3"/>
    <w:rsid w:val="006E41F6"/>
    <w:rsid w:val="0070054B"/>
    <w:rsid w:val="00705870"/>
    <w:rsid w:val="007B201A"/>
    <w:rsid w:val="007C2143"/>
    <w:rsid w:val="007F3ACD"/>
    <w:rsid w:val="0080133F"/>
    <w:rsid w:val="0080498F"/>
    <w:rsid w:val="00860654"/>
    <w:rsid w:val="0088785C"/>
    <w:rsid w:val="008D405B"/>
    <w:rsid w:val="008E6E65"/>
    <w:rsid w:val="00903467"/>
    <w:rsid w:val="00906EAA"/>
    <w:rsid w:val="00970DD2"/>
    <w:rsid w:val="009D15F1"/>
    <w:rsid w:val="009D2B10"/>
    <w:rsid w:val="00A0630D"/>
    <w:rsid w:val="00A2199C"/>
    <w:rsid w:val="00A43896"/>
    <w:rsid w:val="00A56C16"/>
    <w:rsid w:val="00A6244E"/>
    <w:rsid w:val="00A74015"/>
    <w:rsid w:val="00A74B07"/>
    <w:rsid w:val="00A74CD4"/>
    <w:rsid w:val="00A93E02"/>
    <w:rsid w:val="00AA0BF8"/>
    <w:rsid w:val="00AB24DC"/>
    <w:rsid w:val="00AE7FBC"/>
    <w:rsid w:val="00B06048"/>
    <w:rsid w:val="00B41635"/>
    <w:rsid w:val="00B5357A"/>
    <w:rsid w:val="00BD7E4D"/>
    <w:rsid w:val="00BF52C0"/>
    <w:rsid w:val="00C44A6A"/>
    <w:rsid w:val="00C503A7"/>
    <w:rsid w:val="00C5215F"/>
    <w:rsid w:val="00CB4A28"/>
    <w:rsid w:val="00CF3207"/>
    <w:rsid w:val="00D34EA0"/>
    <w:rsid w:val="00DC519F"/>
    <w:rsid w:val="00DD6907"/>
    <w:rsid w:val="00DD7526"/>
    <w:rsid w:val="00E22CB6"/>
    <w:rsid w:val="00E24B07"/>
    <w:rsid w:val="00E671C3"/>
    <w:rsid w:val="00E90142"/>
    <w:rsid w:val="00E9269E"/>
    <w:rsid w:val="00F04A5F"/>
    <w:rsid w:val="00F06EE8"/>
    <w:rsid w:val="00F07349"/>
    <w:rsid w:val="00F113EF"/>
    <w:rsid w:val="00F126F3"/>
    <w:rsid w:val="00F22AE5"/>
    <w:rsid w:val="00F2553E"/>
    <w:rsid w:val="00F269E0"/>
    <w:rsid w:val="00F55D16"/>
    <w:rsid w:val="00F829C0"/>
    <w:rsid w:val="00F829F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C181"/>
  <w15:docId w15:val="{3ABF4711-0508-4320-BB4F-D7D586B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9BF"/>
    <w:pPr>
      <w:spacing w:after="240" w:line="280" w:lineRule="exact"/>
    </w:pPr>
    <w:rPr>
      <w:rFonts w:eastAsia="Times New Roman" w:cs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eastAsiaTheme="majorEastAsia" w:cstheme="majorBidi"/>
      <w:color w:val="243F60" w:themeColor="accent1" w:themeShade="7F"/>
      <w:sz w:val="22"/>
      <w:szCs w:val="22"/>
      <w:lang w:val="en-AU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Revision">
    <w:name w:val="Revision"/>
    <w:hidden/>
    <w:uiPriority w:val="99"/>
    <w:semiHidden/>
    <w:rsid w:val="00705870"/>
    <w:rPr>
      <w:rFonts w:eastAsia="Times New Roman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5"/>
    <w:rPr>
      <w:rFonts w:eastAsia="Times New Roman" w:cs="Arial"/>
      <w:sz w:val="22"/>
      <w:szCs w:val="22"/>
      <w:lang w:val="en-AU"/>
    </w:rPr>
  </w:style>
  <w:style w:type="paragraph" w:customStyle="1" w:styleId="Normal1">
    <w:name w:val="Normal1"/>
    <w:rsid w:val="00416592"/>
    <w:pPr>
      <w:spacing w:after="160" w:line="259" w:lineRule="auto"/>
    </w:pPr>
    <w:rPr>
      <w:rFonts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16592"/>
  </w:style>
  <w:style w:type="character" w:styleId="PlaceholderText">
    <w:name w:val="Placeholder Text"/>
    <w:basedOn w:val="DefaultParagraphFont"/>
    <w:uiPriority w:val="99"/>
    <w:semiHidden/>
    <w:rsid w:val="00431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3778-A5A9-49F0-A12D-1AC62B9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Gorman</dc:creator>
  <cp:lastModifiedBy>Wiekus Lusse</cp:lastModifiedBy>
  <cp:revision>5</cp:revision>
  <cp:lastPrinted>2019-08-22T20:08:00Z</cp:lastPrinted>
  <dcterms:created xsi:type="dcterms:W3CDTF">2018-06-08T03:36:00Z</dcterms:created>
  <dcterms:modified xsi:type="dcterms:W3CDTF">2019-08-22T20:12:00Z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A9953990</vt:lpwstr>
  </property>
  <property fmtid="{D5CDD505-2E9C-101B-9397-08002B2CF9AE}" pid="4" name="Objective-Title">
    <vt:lpwstr>Data Exchange versus current common file transfer methods</vt:lpwstr>
  </property>
  <property fmtid="{D5CDD505-2E9C-101B-9397-08002B2CF9AE}" pid="5" name="Objective-Comment">
    <vt:lpwstr/>
  </property>
  <property fmtid="{D5CDD505-2E9C-101B-9397-08002B2CF9AE}" pid="6" name="Objective-CreationStamp">
    <vt:filetime>2017-09-12T04:38:00Z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2017-09-12T04:38:48Z</vt:filetime>
  </property>
  <property fmtid="{D5CDD505-2E9C-101B-9397-08002B2CF9AE}" pid="10" name="Objective-ModificationStamp">
    <vt:filetime>2017-09-12T04:38:48Z</vt:filetime>
  </property>
  <property fmtid="{D5CDD505-2E9C-101B-9397-08002B2CF9AE}" pid="11" name="Objective-Owner">
    <vt:lpwstr>Doug Gorman</vt:lpwstr>
  </property>
  <property fmtid="{D5CDD505-2E9C-101B-9397-08002B2CF9AE}" pid="12" name="Objective-Path">
    <vt:lpwstr>Global Folder:MSD INFORMATION REPOSITORY:Strategic Social Policy:Broad Cross Sector Frameworks &amp; Strategies:Addressing Cross Agency Social Issues:Social Sector Investment Change Programme:Social Investment Unit:Work Stream: Data Infrastructure:Collateral:</vt:lpwstr>
  </property>
  <property fmtid="{D5CDD505-2E9C-101B-9397-08002B2CF9AE}" pid="13" name="Objective-Parent">
    <vt:lpwstr>Privacy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SP/BC/17///07/16-27124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